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2h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VIII -</w:t>
        <w:br/>
        <w:t>Mrożonki</w:t>
      </w:r>
    </w:p>
    <w:tbl>
      <w:tblPr>
        <w:tblW w:w="9191" w:type="dxa"/>
        <w:jc w:val="left"/>
        <w:tblInd w:w="-10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Aronia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Brokuły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Brukselka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Fasolka szparagowa cała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Fasolka szparagowa cięta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z dorsza bez glazury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z miruny bez glazury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Frytki 2,5kg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Kalafior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z groszkiem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Mieszanka kompotowa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Porzeczka czerwona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Śliwka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Wiśnia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  <w:r>
      <w:rPr/>
      <w:t>z 2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LibreOffice/5.1.0.3$Windows_x86 LibreOffice_project/5e3e00a007d9b3b6efb6797a8b8e57b51ab1f737</Application>
  <Pages>2</Pages>
  <Words>317</Words>
  <Characters>1784</Characters>
  <CharactersWithSpaces>2073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2021-12-06T08:38:05Z</dcterms:modified>
  <cp:revision>20</cp:revision>
  <dc:subject/>
  <dc:title/>
</cp:coreProperties>
</file>